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word/charts/chart3.xml" ContentType="application/vnd.openxmlformats-officedocument.drawingml.chart+xml"/>
  <Override PartName="/docProps/core.xml" ContentType="application/vnd.openxmlformats-package.core-properties+xml"/>
  <Override PartName="/word/charts/chart4.xml" ContentType="application/vnd.openxmlformats-officedocument.drawingml.chart+xml"/>
  <Override PartName="/word/charts/chart2.xml" ContentType="application/vnd.openxmlformats-officedocument.drawingml.chart+xml"/>
  <Override PartName="/word/charts/chart1.xml" ContentType="application/vnd.openxmlformats-officedocument.drawingml.chart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Информация о проделанной работе с обращениями граждан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в администрации города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 за 1 квартал 2024 года.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1. Анализ и результаты рассмотрения обращений граждан в сравнении с аналогичным периодом 2023 года.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За 1 квартал 2024 года в администрацию города поступило 48 обращений граждан, что на 30 % больше от количества обращений поступивших в 2023 году, из них пи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сьменных обращений — 8, что на 24% меньше по сравнению с аналогичным периодом 2023 года. Количество письменных обращений поступивших на электронную почту администрации города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составило 6 обращений. Информация представлена на диаграмме 1.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tabs>
          <w:tab w:val="center" w:pos="4890" w:leader="none"/>
          <w:tab w:val="right" w:pos="9781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Диаграмма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1. Количество обращений граждан, поступивших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tabs>
          <w:tab w:val="center" w:pos="4890" w:leader="none"/>
          <w:tab w:val="right" w:pos="9781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администрацию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за 1 квартал 2023 и 2024 гг.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tabs>
          <w:tab w:val="center" w:pos="4890" w:leader="none"/>
          <w:tab w:val="right" w:pos="9781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lang w:eastAsia="ru-RU"/>
        </w:rPr>
        <w:drawing>
          <wp:inline distT="0" distB="0" distL="0" distR="0">
            <wp:extent cx="4311647" cy="2838448"/>
            <wp:effectExtent l="4762" t="4762" r="4762" b="4762"/>
            <wp:docPr id="1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</w:p>
    <w:p>
      <w:p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7"/>
          <w:szCs w:val="27"/>
          <w:lang w:eastAsia="ru-RU"/>
        </w:rPr>
      </w:pP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Из общего числа поступивших обращений 27 было поставлено на контроль, из них на особый контроль -9 обращения (из вышестоящих органов власти).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Нару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шений по срокам предоставления ответов гражданам, а также ответов на запросы из вышестоящих органов власти нет.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Администрацией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проводится личный прием граждан. График личного приема граждан главой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первым заместителем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главы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заместителями главы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управляющим делами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руководителями структурных подразделений утвержден распоряжением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06.03.2020 года №32-р «О личном приеме граждан в админис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». На диаграммах 2 и 3 отражено количество принятых граждан и проводимых личных приемов.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widowControl w:val="off"/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Диаграмма 2. Количество граждан, принятых на личных приемах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1 квартале 2023 и 2024 гг.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Принято всего граждан 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личных приемах: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hanging="567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lang w:eastAsia="ru-RU"/>
        </w:rPr>
        <w:drawing>
          <wp:inline distT="0" distB="0" distL="0" distR="0">
            <wp:extent cx="4311649" cy="2838449"/>
            <wp:effectExtent l="4762" t="4762" r="4762" b="4762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</w:p>
    <w:p>
      <w:pPr>
        <w:ind w:firstLine="708"/>
        <w:jc w:val="left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Диаграмма 3. Количество проведенных личных приемов граждан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за 1 квартал 2023 и 2024 гг.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Проведено личных приемов: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lang w:eastAsia="ru-RU"/>
        </w:rPr>
        <w:drawing>
          <wp:inline distT="0" distB="0" distL="0" distR="0">
            <wp:extent cx="4518251" cy="2971797"/>
            <wp:effectExtent l="4762" t="4762" r="4762" b="4762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7"/>
          <w:szCs w:val="27"/>
          <w:lang w:eastAsia="ru-RU"/>
        </w:rPr>
      </w:pP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Администрацией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ведется анализ обращений граждан по различным отраслям и сферам. На диаграмме 4 представлены результаты рассмотрения обращений, поступивших в 1 квартале 2024 года.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left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left="1416" w:firstLine="0"/>
        <w:jc w:val="left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Диаграмма 4. Результат  рассмотрения обращений,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поступивших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1 квартале 2024 года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7"/>
          <w:szCs w:val="27"/>
          <w:lang w:eastAsia="ru-RU"/>
        </w:rPr>
      </w:pP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lang w:eastAsia="ru-RU"/>
        </w:rPr>
        <w:drawing>
          <wp:inline distT="0" distB="0" distL="0" distR="0">
            <wp:extent cx="4581525" cy="3390900"/>
            <wp:effectExtent l="0" t="0" r="0" b="0"/>
            <wp:docPr id="4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  <w:t xml:space="preserve">   </w:t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  <w:r>
        <w:rPr>
          <w:rFonts w:ascii="Times New Roman" w:hAnsi="Times New Roman" w:eastAsia="Times New Roman" w:cs="Times New Roman"/>
          <w:sz w:val="27"/>
          <w:szCs w:val="27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Актуальны  вопросы, касающиеся муниципального жилищного фонда,   и предоставления услуг в условиях рынка, трудоустройства,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 так же социальное обеспечение,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социальная поддержка и социальная помощь семьям,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имеющим детей,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том чис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ле многодетным семьям.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Анализ поступивших обращений показал, что в 2024 году не поступало обращений по следующим темам, которые были актуальны в 2023 году: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tbl>
      <w:tblPr>
        <w:tblStyle w:val="48"/>
        <w:tblW w:w="0" w:type="auto"/>
        <w:tblLook w:val="04A0" w:firstRow="1" w:lastRow="0" w:firstColumn="1" w:lastColumn="0" w:noHBand="0" w:noVBand="1"/>
      </w:tblPr>
      <w:tblGrid>
        <w:gridCol w:w="675"/>
        <w:gridCol w:w="5812"/>
        <w:gridCol w:w="1701"/>
        <w:gridCol w:w="1666"/>
      </w:tblGrid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/п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Тема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2023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2024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/>
            <w:bookmarkStart w:id="0" w:name="undefined"/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Уборка снега, опавших листьев, мусора и посторонних предметов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Коммунально-бытовое хозяйство и предоставление услуг в условиях рынка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Благоустройство и ремонт подъездных дорог, в том числе тротуаров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Приватизация земельных участков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Лечение и оказание медицинской помощи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Реклама (за исключением рекламы в СМИ)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Доходы местного бюджета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Заработная плата, система оплаты труда в бюджетной сфере и учреждениях, на унитарных предприятиях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Запрос архивных данных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66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bookmarkEnd w:id="0"/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</w:tbl>
    <w:p>
      <w:p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2024 году произошло уменьшение количества обращений граждан по сравнению с аналогичным периодом 2023 года, по следующим вопросам: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tbl>
      <w:tblPr>
        <w:tblStyle w:val="48"/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675"/>
        <w:gridCol w:w="4252"/>
        <w:gridCol w:w="2409"/>
        <w:gridCol w:w="1985"/>
      </w:tblGrid>
      <w:tr>
        <w:tblPrEx/>
        <w:trPr>
          <w:trHeight w:val="1263"/>
        </w:trPr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/п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252" w:type="dxa"/>
            <w:vAlign w:val="center"/>
            <w:textDirection w:val="lrTb"/>
            <w:noWrap w:val="false"/>
          </w:tcPr>
          <w:p>
            <w:pPr>
              <w:ind w:firstLine="709"/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Тема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0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2023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2024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252" w:type="dxa"/>
            <w:vAlign w:val="center"/>
            <w:textDirection w:val="lrTb"/>
            <w:noWrap w:val="false"/>
          </w:tcPr>
          <w:p>
            <w:pPr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Уборка снега, опавших листьев, мусора и посторонних предметов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0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98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621"/>
        <w:ind w:left="0" w:firstLine="709"/>
        <w:jc w:val="both"/>
        <w:tabs>
          <w:tab w:val="left" w:pos="1276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Style w:val="621"/>
        <w:ind w:left="0" w:firstLine="709"/>
        <w:jc w:val="both"/>
        <w:tabs>
          <w:tab w:val="left" w:pos="1276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то же время в 2024 граждане обращались с вопросами, которые не были актуальны в 2023 году: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tbl>
      <w:tblPr>
        <w:tblStyle w:val="48"/>
        <w:tblW w:w="0" w:type="auto"/>
        <w:tblLook w:val="04A0" w:firstRow="1" w:lastRow="0" w:firstColumn="1" w:lastColumn="0" w:noHBand="0" w:noVBand="1"/>
      </w:tblPr>
      <w:tblGrid>
        <w:gridCol w:w="817"/>
        <w:gridCol w:w="4109"/>
        <w:gridCol w:w="2464"/>
        <w:gridCol w:w="2216"/>
      </w:tblGrid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/п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Тема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2023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2024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Компенсация морального и материального вреда.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Социальное обеспечение,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социальная поддержка и социальная помощь семьям,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имеющим детей,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том числе многодетным семьям и одиноким родителям,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гражданам пожилого возраста,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гражданам,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находящимся в трудной жизнен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ной ситуации,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малоимущим гражданам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Культурное наследие народов Российской Федерации и сохранение историко-культурных территорий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Опека и попечительство.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Службы по обслуживанию детей,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оказавшихся в сложной жизненной ситуации.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Деятельность центров дополнительного образования (домов культуры,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творческих коллективов,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центров)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Молодежная политика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Качество товаров.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Защита прав потребителей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Гражданская оборона,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территориальная оборона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109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Обмен жилых помещений.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Оформление договора социального найм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а(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найми) жилого помещения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21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621"/>
        <w:ind w:left="0" w:firstLine="0"/>
        <w:jc w:val="both"/>
        <w:tabs>
          <w:tab w:val="left" w:pos="1276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pStyle w:val="621"/>
        <w:ind w:left="0" w:firstLine="0"/>
        <w:jc w:val="both"/>
        <w:tabs>
          <w:tab w:val="left" w:pos="1276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pStyle w:val="621"/>
        <w:ind w:left="0" w:firstLine="0"/>
        <w:jc w:val="both"/>
        <w:tabs>
          <w:tab w:val="left" w:pos="1276" w:leader="none"/>
        </w:tabs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2024 году произошло увеличение количества обращений граждан по сравнению с аналогичным периодом 2023 года, по следующим вопросам: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/>
    </w:p>
    <w:tbl>
      <w:tblPr>
        <w:tblStyle w:val="48"/>
        <w:tblW w:w="0" w:type="auto"/>
        <w:tblInd w:w="14" w:type="dxa"/>
        <w:tblLayout w:type="fixed"/>
        <w:tblLook w:val="04A0" w:firstRow="1" w:lastRow="0" w:firstColumn="1" w:lastColumn="0" w:noHBand="0" w:noVBand="1"/>
      </w:tblPr>
      <w:tblGrid>
        <w:gridCol w:w="817"/>
        <w:gridCol w:w="4925"/>
        <w:gridCol w:w="2126"/>
        <w:gridCol w:w="1452"/>
      </w:tblGrid>
      <w:tr>
        <w:tblPrEx/>
        <w:trPr>
          <w:trHeight w:val="1442"/>
        </w:trPr>
        <w:tc>
          <w:tcPr>
            <w:tcW w:w="817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/п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92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Тема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12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2023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452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2024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2541"/>
        </w:trPr>
        <w:tc>
          <w:tcPr>
            <w:tcW w:w="817" w:type="dxa"/>
            <w:vAlign w:val="center"/>
            <w:textDirection w:val="lrTb"/>
            <w:noWrap w:val="false"/>
          </w:tcPr>
          <w:p>
            <w:pPr>
              <w:pStyle w:val="621"/>
              <w:ind w:left="0" w:right="0" w:firstLine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925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Социальное обеспечение,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социальная поддержка и социальная помощь семьям,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имеющим детей,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том числе многодетным семьям и одиноким родителям,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гражданам пожилого возраста,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гражданам,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находящимся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трудной жизненной ситуации,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малоимущим гражданам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126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1452" w:type="dxa"/>
            <w:vAlign w:val="center"/>
            <w:textDirection w:val="lrTb"/>
            <w:noWrap w:val="false"/>
          </w:tcPr>
          <w:p>
            <w:pPr>
              <w:pStyle w:val="621"/>
              <w:ind w:left="0"/>
              <w:jc w:val="center"/>
              <w:tabs>
                <w:tab w:val="left" w:pos="1276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</w:tbl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Увеличение обращений граждан по предоставленным темам произошло за счет увеличения обращений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для консультации по различным вопросам, на все вопросы заявители получают подробные разъяснения и рекомендации для дальнейших действий с целью решения того или иного вопроса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На прежнем уровне в 2024 году, по сравнению с 2023 годом,  осталось количество п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оступивших обращений по следующим темам: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/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tbl>
      <w:tblPr>
        <w:tblStyle w:val="48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4251"/>
        <w:gridCol w:w="2464"/>
        <w:gridCol w:w="2092"/>
      </w:tblGrid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/п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25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Тема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2023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092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обращений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 2024 году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25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Доступность физической культуры и спорта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092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70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425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Гуманное отношение к животным.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приютов для животных.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46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W w:w="2092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</w:tr>
    </w:tbl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2. Муниципальные программы города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действуют 28 муниципальных программ, направленных на улучшение благосостояния жителей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города в целом, самыми актуальными являются: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«Реализация молодежной политики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1011. Целью данной программы является повышение эффективности реализации молодежной политики в инте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ресах инновационного социально ориентированного развития.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«Организация отдыха детей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каникулярное время,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1007. Целью данной программы является ре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ализация прав детей города на развитие полноценного отдыха в каникулярный период.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ая программа «Осуществление материально-технического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обеспечения деятельности органов местного самоуправления, казенных учреждений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финансовое обеспечение деятельности которых осуществляется за счет средств бюджета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 основании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бюджетной сметы,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996. Целью данной программы является создание условий бесперебойного функционирования органов местного самоуправления, казенных учреждений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финансовое об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еспечение деятельности которых осуществляется за счет средств бюджета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 основании бюджетной сметы.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«Сохранение и развитие сферы культуры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2018 № 1013. Целью данной программы является  совершенствование комплексной системы мер по реализации муниципальной политики в сфере культуры, дополнительного образования и туризма, развитие и укрепление правовых, экономических и организационных условий дл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 эффективной деятельности и оказания услуг, соответствующих современным потребностям общества и каждого жителя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«Развитие муниципальной службы в городе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 12.10.2018 № 998. Целью данной программы является Повышение эффективности муниципальной службы в органах местного самоуправления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«Улучшение условий и охраны труда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28.10.2019 № 993. Целью данной программы является улучшение условий и охраны труда в организациях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«Развитие жилищной сферы в городе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», утвержденная постановлением администраци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1005. Целью данной программы является создание условий для обеспечения жильем отдельных категорий граждан на территории муниципального образования город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«Профилактика терроризма и экстремизма,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создание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комфортной среды для проживания многонационального общества,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1016. Целью данной программы является профилактика терроризма и экстремизма, гармониз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ация межэтнических и межкультурных отношений, создание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комфортной среды для проживания многонационального общества.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«Поддержка и развитие малого и среднего предпринимательства, агропромышленного комплекса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1015. Целью данной программы является создание благоприятного предпринимательского климата и условий для ведения бизнеса субъектами малого и среднего пре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дпринимательства, обеспечение благоприятного инвестиционного климата, устойчивое развитие агропромышленного комплекса, повышение конкурентоспособности продукции, произведенной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развитие конкуренции, обеспечение доступности право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вой помощи для потребителей.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  <w:t xml:space="preserve">Разработка документов градостроительного регулирования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1018. Целью данной программы является создание условий для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устойчивого развития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рационального использования отдельных территорий города (микрорайонов) на основе документов по планировке территорий, способствующих дальнейшему развитию жилищной, инженерной, транспортной и социальной инфрас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труктур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 учетом интересов граждан, организаций, предприятий и предпринимателей города.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«Противодействие коррупции в муниципальном образовании город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.10.2019 № 997. Целью данной программы является противодействие коррупции в муниципальном образовании город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«Информирование населения о деятельности органов местного самоуправления, поддержка лиц, внесших выдающийся вклад 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развитие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1014. Целью данной программы является обеспечение реализации конституционных прав граждан на получение своевременной, достоверной, полной и разносторонней инфор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мации о деятельности органов местного самоуправления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оказание поддержки лицам, внесшим выдающийся вклад в развитие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«Управление и распоряжение имуществом, находящимся в собственности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земе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льными участками, государственная собственность на которые не разграничена,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 № 1002. Целью данной программы является формирование эффективной системы управления и распоряжения имуществом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находящимся в собственности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и земельными участками, государственная собственность на которые не разграничена. Эффективное планирование и исполнение плана по поступлению в бюджет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неналоговых доходов от управления и распоряжени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 имуществом и земельными участками.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«Управление муниципальными финансами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1008. Целью данной программы является обеспечение долгосрочной сбаланси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рованности и устойчивости бюджетной системы, повышение качества управления муниципальными финансами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«Развитие транспортной системы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 2019 - 2025 годы и на период до 2030 года», утвержденная постановлени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1000. Целью данной программы является развитие современной транспортной системы, обеспечивающей повышение доступности и безопасности услуг транспортного комплекса для населения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ограмма «Обеспечение жильем молодых семей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13.10.2018 № 1003. Целью данной программы является предоставление молодым семьям государственной поддержки в решении жилищной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проблемы в рамках программы Ханты-Мансийского автономного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округа - Югры «Развитие жилищной сферы». Создание условий для привлечения молодыми семьями собственных средств, дополнительных финансовых сре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дств кр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едитных и других организаций, предоставляющих кре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диты и займы, в том числе ипотечных жилищных кредитов, для приобретения жилого помещения или строительства индивидуального жилого дома.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«Обеспечение условий для развития физической культуры, школьного спорта и массового спорта в гор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оде, утверждённая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1012. Целью данной программы является создание условий для всех категорий населения города по удовлетворению потребности в физическом развитии. Увеличение объема и повышение качес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тва предоставляемых услуг в сфере физической культуры, школьного спорта и массового спорта.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«Реализация отдельных государственных полномочий в сфере опеки и попечительства в городе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1010. Целью данной программы является реализация переданных отдельных государственных полномочий по осуществлению деятельности по опеке и попечительству и предоставлению мер социальной поддержки детям-сиротам и детям, оставшимс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 без попечения родителей, лицам из числа детей-сирот и детей, оставшихся без попечения родителей, приемным родителям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«Поддержка социально ориентированных некоммерческих организаций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1020. Целью данной программы является создание благоприятных условий для развития социально ориентированных некоммерческих организаций и повышения активности населения города в решении общес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твенно значимых вопросов.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«Развитие жилищно-коммунального комплекса и повышение энергетической эффективности на 2019 - 2024 годы и на период до 2030 года" в городе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12.10.2018 № 999. Целью данной программы является повышение качества и надежности предоставления жилищно-коммунальных услуг, создание безопасных и благоприятных условий проживания граждан, повышение эффективности использования топливно-энергетических ресур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сов, содержание объектов внешнего благоустройства городского округа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«Обеспечение безопасности жизнедеятельности населения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2018 № 1019. Целью данной программы является  обеспечение приемлемого уровня безопасности жизнедеятельности, необходимого уровня защищенности населения и территории муниципального образования город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создание условий для повышения уровня общественной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безопасности населения города.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«Обеспечение экологической безопасности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 2019 - 2025 годы и на период до 2030 года»,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1001. Целью д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анной программы является обеспечение устойчивой безопасной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экологической обстановки и сохранение благоприятной окружающей среды в городе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снижение негативного воздействия на окружающую среду отходов производства и потребления.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 «Информационное общество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1009. Целью данной программы является повышение качества жизни населения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совершенствование системы муниципального управления 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 основе использования информационно - коммуникационных технологий.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«Развитие образования в городе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1006.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Целью данной программы является  обеспечение ст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абильного функционирования и устойчивого развития системы образования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доступности качественного образования, соответствующего современным потребностям общества, эффективности, комплексной безопасности и комфортных условий обучающихся и воспи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танников образовательных организаций в условиях модернизации российского образования, создание условий для возрождения семейных традиций, укрепления семейных ценностей и воспитания в детях высоких моральных и нравственных качеств, патриотизма и гражданстве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нности, воспитание гармонично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«Формирование современной городской сре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ды в муниципальном образовании город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1021. Целью данной программы является создание условий для системного повышения качества и комфорта городской среды на территории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путем реализации комплекса первоочередных мероприятий.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12.10.2018 № 1017. Целью данной программы является обеспечение беспрепятственного доступа инвалидов и других маломобильных групп населения к объектам социальной инфраструктуры муниципального образовани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 город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 «Поддержка ведения садоводства и огородничества на территории 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30.09.2019 № 865. Целью данной программы является содействие развитию и повыш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ению эффективности деятельности садоводческих, огороднических товариществ, развитие их эффективного сотрудничества с органами местного самоуправления.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Муниципальная программа «Укрепление общественного здоровья, утвержденная постановлением администрации гор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24.09.2021 № 889. Целью данной программы является  формирование культуры общественного здоровья.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851"/>
        <w:jc w:val="both"/>
        <w:spacing w:after="0" w:line="240" w:lineRule="auto"/>
        <w:widowControl w:val="off"/>
        <w:rPr>
          <w:rFonts w:ascii="Times New Roman" w:hAnsi="Times New Roman" w:eastAsia="Lucida Sans Unicode" w:cs="Times New Roman"/>
          <w:sz w:val="28"/>
          <w:szCs w:val="28"/>
        </w:rPr>
      </w:pPr>
      <w:r>
        <w:rPr>
          <w:rFonts w:ascii="Times New Roman" w:hAnsi="Times New Roman" w:eastAsia="Lucida Sans Unicode" w:cs="Times New Roman"/>
          <w:sz w:val="28"/>
          <w:szCs w:val="28"/>
        </w:rPr>
      </w:r>
      <w:r>
        <w:rPr>
          <w:rFonts w:ascii="Times New Roman" w:hAnsi="Times New Roman" w:eastAsia="Lucida Sans Unicode" w:cs="Times New Roman"/>
          <w:sz w:val="28"/>
          <w:szCs w:val="28"/>
        </w:rPr>
      </w:r>
      <w:r>
        <w:rPr>
          <w:rFonts w:ascii="Times New Roman" w:hAnsi="Times New Roman" w:eastAsia="Lucida Sans Unicode" w:cs="Times New Roman"/>
          <w:sz w:val="28"/>
          <w:szCs w:val="28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eastAsia="ru-RU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3. Информация о проделанной работе с обращениями граждан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eastAsia="ru-RU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по жилищным вопросам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ff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color w:val="ff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color w:val="ff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сфере жилищных отношений в КУМИ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оказывается шесть муниципальных услуг.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Всего в первом квартале 2024 года оказано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</w:rPr>
        <w:t xml:space="preserve">36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- услуги из них: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tbl>
      <w:tblPr>
        <w:tblW w:w="949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594"/>
        <w:gridCol w:w="7182"/>
        <w:gridCol w:w="1716"/>
      </w:tblGrid>
      <w:tr>
        <w:tblPrEx/>
        <w:trPr>
          <w:jc w:val="center"/>
          <w:trHeight w:val="88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/п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Наименование услуги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оказанных услуг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</w:tr>
      <w:tr>
        <w:tblPrEx/>
        <w:trPr>
          <w:jc w:val="center"/>
          <w:trHeight w:val="89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9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на учет граждан в качестве нуждающихся в жилых помещениях на территории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yellow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yellow"/>
              </w:rPr>
            </w:r>
          </w:p>
        </w:tc>
      </w:tr>
      <w:tr>
        <w:tblPrEx/>
        <w:trPr>
          <w:jc w:val="center"/>
          <w:trHeight w:val="63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96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Предоставление информации об очередности предоставления жилых помещений на условиях социального найма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yellow"/>
              </w:rPr>
            </w:r>
          </w:p>
        </w:tc>
      </w:tr>
      <w:tr>
        <w:tblPrEx/>
        <w:trPr>
          <w:jc w:val="center"/>
          <w:trHeight w:val="54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96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Предоставление жилых помещений муниципального специализированного жилищного фонда по договорам найма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</w:tc>
      </w:tr>
      <w:tr>
        <w:tblPrEx/>
        <w:trPr>
          <w:jc w:val="center"/>
          <w:trHeight w:val="55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96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Предоставление жилых помещений муниципального жилищного фонда коммерческого использования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27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96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Выдача согласия и оформление документов по обмену жилыми помещениями по договорам социального найма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96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Выдача разрешения (согласия) нанимателю жилого помещения муниципального жилищного фонда на вселение других граждан в качестве членов семьи, проживающих совместно с нанимателем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96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Признание граждан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малоимущими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в целях постановки на учет граждан в качеств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е нуждающихся в жилых помещениях, предоставляемых по договорам социального найма из муниципального жилищного фонда города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Покачи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9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жилого помещения по договору социального найма на территории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Покачи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</w:tc>
      </w:tr>
    </w:tbl>
    <w:p>
      <w:pPr>
        <w:ind w:firstLine="567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ar-SA"/>
        </w:rPr>
        <w:t xml:space="preserve">В первом квартале 2024</w:t>
      </w:r>
      <w:r>
        <w:rPr>
          <w:rFonts w:ascii="Times New Roman" w:hAnsi="Times New Roman" w:eastAsia="Times New Roman" w:cs="Times New Roman"/>
          <w:sz w:val="28"/>
          <w:szCs w:val="28"/>
          <w:lang w:eastAsia="ar-SA"/>
        </w:rPr>
        <w:t xml:space="preserve"> года у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ar-SA"/>
        </w:rPr>
        <w:t xml:space="preserve">3 семей</w:t>
      </w: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ar-SA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ar-SA"/>
        </w:rPr>
        <w:t xml:space="preserve">были приняты документы на постановку на учет, в качестве малоимущих граждан, 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нуждающихся в жилых помещениях, предоставляемых по договорам социального найма из муниципального жилищного фонда города 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, из них </w:t>
      </w:r>
      <w:r>
        <w:rPr>
          <w:rFonts w:ascii="Times New Roman" w:hAnsi="Times New Roman" w:eastAsia="Times New Roman" w:cs="Times New Roman"/>
          <w:color w:val="ff0000"/>
          <w:sz w:val="28"/>
          <w:szCs w:val="28"/>
          <w:shd w:val="clear" w:color="auto" w:fill="ffffff"/>
          <w:lang w:eastAsia="ar-SA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val="clear" w:color="auto" w:fill="ffffff"/>
          <w:lang w:eastAsia="ar-SA"/>
        </w:rPr>
        <w:t xml:space="preserve">3 семьи принято на учет, 0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val="clear" w:color="auto" w:fill="ffffff"/>
          <w:lang w:eastAsia="ar-SA"/>
        </w:rPr>
        <w:t xml:space="preserve"> семьям отказано в принятии на учет. 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Заключено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val="clear" w:color="auto" w:fill="ffffff"/>
          <w:lang w:eastAsia="ar-SA"/>
        </w:rPr>
        <w:t xml:space="preserve">27</w:t>
      </w:r>
      <w:r>
        <w:rPr>
          <w:rFonts w:ascii="Times New Roman" w:hAnsi="Times New Roman" w:eastAsia="Times New Roman" w:cs="Times New Roman"/>
          <w:color w:val="ff0000"/>
          <w:sz w:val="28"/>
          <w:szCs w:val="28"/>
          <w:shd w:val="clear" w:color="auto" w:fill="ffffff"/>
          <w:lang w:eastAsia="ar-SA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договоров найма на жилые помещения, из них: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val="clear" w:color="auto" w:fill="ffffff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val="clear" w:color="auto" w:fill="ffffff"/>
        </w:rPr>
      </w:r>
    </w:p>
    <w:p>
      <w:pPr>
        <w:ind w:firstLine="0"/>
        <w:jc w:val="both"/>
        <w:spacing w:after="0" w:line="240" w:lineRule="auto"/>
        <w:widowControl w:val="off"/>
        <w:tabs>
          <w:tab w:val="left" w:pos="924" w:leader="none"/>
        </w:tabs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</w:p>
    <w:tbl>
      <w:tblPr>
        <w:tblW w:w="0" w:type="auto"/>
        <w:tblInd w:w="2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211"/>
        <w:gridCol w:w="4251"/>
      </w:tblGrid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11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Наименование договоров найма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5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1 квартал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0" w:type="auto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hd w:val="clear" w:color="auto" w:fill="ffffff"/>
                <w:lang w:eastAsia="ar-SA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5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2024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1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социального найма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5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ar-SA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1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коммерческого найма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5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ar-SA"/>
              </w:rPr>
              <w:t xml:space="preserve">27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1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служебного найма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5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ar-SA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1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найма в общежитии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5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ar-SA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1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маневренного фонда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5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ar-SA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1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найма жилого помещения для детей-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  <w:lang w:eastAsia="ar-SA"/>
              </w:rPr>
              <w:t xml:space="preserve">сирот и детей, оставшихся без попечения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shd w:val="clear" w:color="auto" w:fill="ffffff"/>
                <w:lang w:eastAsia="ar-SA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5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tabs>
                <w:tab w:val="left" w:pos="924" w:leader="none"/>
              </w:tabs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ar-SA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</w:r>
          </w:p>
        </w:tc>
      </w:tr>
    </w:tbl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В течение первого квартала 2024 года были подготовлены ответы на обращения граждан по следующим вопросам: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- предоставление муниципального жилья;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- включение, исключение из списка,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 нуждающихся в жилых помещениях, предоставляемых по договорам социального найма из муниципального жилищного фонда города 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;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- предоставление текущей информации по жилищным вопросам.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Все обращения рассмотрены, ответы подготовлены в установленный законо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  <w:t xml:space="preserve">дательством Российской Федерации срок, с разъяснениями по всем интересующим вопросам.  </w:t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  <w:r>
        <w:rPr>
          <w:rFonts w:ascii="Times New Roman" w:hAnsi="Times New Roman" w:eastAsia="Times New Roman" w:cs="Times New Roman"/>
          <w:sz w:val="28"/>
          <w:szCs w:val="28"/>
          <w:shd w:val="clear" w:color="auto" w:fill="ffffff"/>
          <w:lang w:eastAsia="ar-SA"/>
        </w:rPr>
      </w:r>
    </w:p>
    <w:p>
      <w:pPr>
        <w:ind w:firstLine="708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4. Заключение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также активно ведется работа по обеспечению доступности органов исполнительной власти для населения, результативности работы, формированию положительного имиджа чиновника. На официальном сайте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разме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щена контактная информация о структурных подразделениях администрации города. Наиболее значимые аспекты в жизни города, работа администрации города освещается в газете «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Покачевский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вестник» и на официальном сайте. Также на официальном сайте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убликуются отчеты о работе администрации города, ее структурных подразделениях, графики личного приёма граждан. Граждане активно пишут главе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электронной форме через официальный сайт http://admpokachi.ru/.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Работа с обращениями граждан ведетс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 в соответствии с распоряжениями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numPr>
          <w:ilvl w:val="0"/>
          <w:numId w:val="1"/>
        </w:numPr>
        <w:ind w:left="0" w:firstLine="709"/>
        <w:jc w:val="both"/>
        <w:spacing w:after="0" w:line="240" w:lineRule="auto"/>
        <w:widowControl w:val="off"/>
        <w:tabs>
          <w:tab w:val="left" w:pos="1134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 03.10.2018 № 187-р «Об утверждении Инструкции по организации рассмотрения обращений граждан, объединений граждан, в том числе юридических лиц, поступающих в администрацию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numPr>
          <w:ilvl w:val="0"/>
          <w:numId w:val="1"/>
        </w:numPr>
        <w:ind w:left="0" w:firstLine="709"/>
        <w:jc w:val="both"/>
        <w:spacing w:after="0" w:line="240" w:lineRule="auto"/>
        <w:widowControl w:val="off"/>
        <w:tabs>
          <w:tab w:val="left" w:pos="1134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 06.03.2020 № 32-р «О личном приеме граждан в администрации города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Покачи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Регистрация письменных и электронных обращений граждан производится в системе АРМ ЕС ОГ в разделе «Результаты рассмотрения обращений» информационного ресурса ССТУ. РФ.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ucida Sans Unicode">
    <w:panose1 w:val="020B0602030504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683" w:hanging="97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hart" Target="charts/chart1.xml" /><Relationship Id="rId10" Type="http://schemas.openxmlformats.org/officeDocument/2006/relationships/chart" Target="charts/chart2.xml" /><Relationship Id="rId11" Type="http://schemas.openxmlformats.org/officeDocument/2006/relationships/chart" Target="charts/chart3.xml" /><Relationship Id="rId12" Type="http://schemas.openxmlformats.org/officeDocument/2006/relationships/chart" Target="charts/chart4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2.xlsx" /></Relationships>
</file>

<file path=word/charts/_rels/chart3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3.xlsx" /></Relationships>
</file>

<file path=word/charts/_rels/chart4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4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15"/>
    </mc:Choice>
    <mc:Fallback>
      <c:style val="15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</c:dLbls>
          <c:cat>
            <c:strRef>
              <c:f>Лист1!$C$2:$E$2</c:f>
              <c:strCache>
                <c:ptCount val="3"/>
                <c:pt idx="0">
                  <c:v xml:space="preserve">Общее количество обращений</c:v>
                </c:pt>
                <c:pt idx="1">
                  <c:v xml:space="preserve">Количество письменных обращений</c:v>
                </c:pt>
                <c:pt idx="2">
                  <c:v xml:space="preserve">Количество обращений на личном приеме</c:v>
                </c:pt>
              </c:strCache>
            </c:strRef>
          </c:cat>
          <c:val>
            <c:numRef>
              <c:f>Лист1!$C$3:$E$3</c:f>
              <c:numCache>
                <c:formatCode>General</c:formatCode>
                <c:ptCount val="3"/>
                <c:pt idx="0">
                  <c:v>38</c:v>
                </c:pt>
                <c:pt idx="1">
                  <c:v>26</c:v>
                </c:pt>
                <c:pt idx="2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2024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</c:dLbls>
          <c:cat>
            <c:strRef>
              <c:f>Лист1!$C$2:$E$2</c:f>
              <c:strCache>
                <c:ptCount val="3"/>
                <c:pt idx="0">
                  <c:v xml:space="preserve">Общее количество обращений</c:v>
                </c:pt>
                <c:pt idx="1">
                  <c:v xml:space="preserve">Количество письменных обращений</c:v>
                </c:pt>
                <c:pt idx="2">
                  <c:v xml:space="preserve">Количество обращений на личном приеме</c:v>
                </c:pt>
              </c:strCache>
            </c:strRef>
          </c:cat>
          <c:val>
            <c:numRef>
              <c:f>Лист1!$C$4:$E$4</c:f>
              <c:numCache>
                <c:formatCode>General</c:formatCode>
                <c:ptCount val="3"/>
                <c:pt idx="0">
                  <c:v>48</c:v>
                </c:pt>
                <c:pt idx="1">
                  <c:v>8</c:v>
                </c:pt>
                <c:pt idx="2">
                  <c:v>28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150"/>
        <c:axId val="81731585"/>
        <c:axId val="81731586"/>
      </c:barChart>
      <c:catAx>
        <c:axId val="81731585"/>
        <c:scaling>
          <c:orientation val="minMax"/>
        </c:scaling>
        <c:delete val="0"/>
        <c:axPos val="b"/>
        <c:majorTickMark val="out"/>
        <c:minorTickMark val="none"/>
        <c:tickLblPos val="nextTo"/>
        <c:crossAx val="81731586"/>
        <c:crosses val="autoZero"/>
        <c:auto val="1"/>
        <c:lblAlgn val="ctr"/>
        <c:lblOffset val="100"/>
        <c:noMultiLvlLbl val="0"/>
      </c:catAx>
      <c:valAx>
        <c:axId val="81731586"/>
        <c:scaling>
          <c:orientation val="minMax"/>
        </c:scaling>
        <c:delete val="0"/>
        <c:axPos val="l"/>
        <c:majorGridlines>
          <c:spPr bwMode="auto"/>
        </c:majorGridlines>
        <c:numFmt formatCode="General" sourceLinked="1"/>
        <c:majorTickMark val="out"/>
        <c:minorTickMark val="none"/>
        <c:tickLblPos val="nextTo"/>
        <c:crossAx val="81731585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spPr bwMode="auto">
    <a:xfrm>
      <a:off x="0" y="0"/>
      <a:ext cx="0" cy="0"/>
    </a:xfrm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15"/>
    </mc:Choice>
    <mc:Fallback>
      <c:style val="15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</c:dLbls>
          <c:cat>
            <c:strRef>
              <c:f>Лист1!$C$2:$E$2</c:f>
              <c:strCache>
                <c:ptCount val="3"/>
                <c:pt idx="0">
                  <c:v xml:space="preserve">Руководителями структурных подразделений </c:v>
                </c:pt>
                <c:pt idx="1">
                  <c:v xml:space="preserve">Заместителями главы города </c:v>
                </c:pt>
                <c:pt idx="2">
                  <c:v xml:space="preserve">Глава города </c:v>
                </c:pt>
              </c:strCache>
            </c:strRef>
          </c:cat>
          <c:val>
            <c:numRef>
              <c:f>Лист1!$C$3:$E$3</c:f>
              <c:numCache>
                <c:formatCode>General</c:formatCode>
                <c:ptCount val="3"/>
                <c:pt idx="0">
                  <c:v>0</c:v>
                </c:pt>
                <c:pt idx="1">
                  <c:v>3</c:v>
                </c:pt>
                <c:pt idx="2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2024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</c:dLbls>
          <c:cat>
            <c:strRef>
              <c:f>Лист1!$C$2:$E$2</c:f>
              <c:strCache>
                <c:ptCount val="3"/>
                <c:pt idx="0">
                  <c:v xml:space="preserve">Руководителями структурных подразделений </c:v>
                </c:pt>
                <c:pt idx="1">
                  <c:v xml:space="preserve">Заместителями главы города </c:v>
                </c:pt>
                <c:pt idx="2">
                  <c:v xml:space="preserve">Глава города </c:v>
                </c:pt>
              </c:strCache>
            </c:strRef>
          </c:cat>
          <c:val>
            <c:numRef>
              <c:f>Лист1!$C$4:$E$4</c:f>
              <c:numCache>
                <c:formatCode>General</c:formatCode>
                <c:ptCount val="3"/>
                <c:pt idx="0">
                  <c:v>11</c:v>
                </c:pt>
                <c:pt idx="1">
                  <c:v>6</c:v>
                </c:pt>
                <c:pt idx="2">
                  <c:v>11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150"/>
        <c:axId val="81731587"/>
        <c:axId val="81731588"/>
      </c:barChart>
      <c:catAx>
        <c:axId val="81731587"/>
        <c:scaling>
          <c:orientation val="minMax"/>
        </c:scaling>
        <c:delete val="0"/>
        <c:axPos val="b"/>
        <c:majorTickMark val="out"/>
        <c:minorTickMark val="none"/>
        <c:tickLblPos val="nextTo"/>
        <c:crossAx val="81731588"/>
        <c:crosses val="autoZero"/>
        <c:auto val="1"/>
        <c:lblAlgn val="ctr"/>
        <c:lblOffset val="100"/>
        <c:noMultiLvlLbl val="0"/>
      </c:catAx>
      <c:valAx>
        <c:axId val="81731588"/>
        <c:scaling>
          <c:orientation val="minMax"/>
        </c:scaling>
        <c:delete val="0"/>
        <c:axPos val="l"/>
        <c:majorGridlines>
          <c:spPr bwMode="auto"/>
        </c:majorGridlines>
        <c:numFmt formatCode="General" sourceLinked="1"/>
        <c:majorTickMark val="out"/>
        <c:minorTickMark val="none"/>
        <c:tickLblPos val="nextTo"/>
        <c:crossAx val="81731587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spPr bwMode="auto">
    <a:xfrm>
      <a:off x="0" y="0"/>
      <a:ext cx="0" cy="0"/>
    </a:xfrm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15"/>
    </mc:Choice>
    <mc:Fallback>
      <c:style val="15"/>
    </mc:Fallback>
  </mc:AlternateContent>
  <c:chart>
    <c:autoTitleDeleted val="0"/>
    <c:plotArea>
      <c:layout>
        <c:manualLayout>
          <c:layoutTarget val="inner"/>
          <c:xMode val="edge"/>
          <c:yMode val="edge"/>
          <c:x val="0.068710"/>
          <c:y val="0.005940"/>
          <c:w val="0.789760"/>
          <c:h val="0.703040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</c:dLbls>
          <c:cat>
            <c:strRef>
              <c:f>Лист1!$C$2:$E$2</c:f>
              <c:strCache>
                <c:ptCount val="3"/>
                <c:pt idx="0">
                  <c:v xml:space="preserve">Руководителями структурных подразделений </c:v>
                </c:pt>
                <c:pt idx="1">
                  <c:v xml:space="preserve">Заместителями главы города </c:v>
                </c:pt>
                <c:pt idx="2">
                  <c:v xml:space="preserve">Глава города </c:v>
                </c:pt>
              </c:strCache>
            </c:strRef>
          </c:cat>
          <c:val>
            <c:numRef>
              <c:f>Лист1!$C$3:$E$3</c:f>
              <c:numCache>
                <c:formatCode>General</c:formatCode>
                <c:ptCount val="3"/>
                <c:pt idx="0">
                  <c:v>0</c:v>
                </c:pt>
                <c:pt idx="1">
                  <c:v>2</c:v>
                </c:pt>
                <c:pt idx="2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2024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</c:dLbls>
          <c:cat>
            <c:strRef>
              <c:f>Лист1!$C$2:$E$2</c:f>
              <c:strCache>
                <c:ptCount val="3"/>
                <c:pt idx="0">
                  <c:v xml:space="preserve">Руководителями структурных подразделений </c:v>
                </c:pt>
                <c:pt idx="1">
                  <c:v xml:space="preserve">Заместителями главы города </c:v>
                </c:pt>
                <c:pt idx="2">
                  <c:v xml:space="preserve">Глава города </c:v>
                </c:pt>
              </c:strCache>
            </c:strRef>
          </c:cat>
          <c:val>
            <c:numRef>
              <c:f>Лист1!$C$4:$E$4</c:f>
              <c:numCache>
                <c:formatCode>General</c:formatCode>
                <c:ptCount val="3"/>
                <c:pt idx="0">
                  <c:v>7</c:v>
                </c:pt>
                <c:pt idx="1">
                  <c:v>5</c:v>
                </c:pt>
                <c:pt idx="2">
                  <c:v>7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150"/>
        <c:axId val="81731589"/>
        <c:axId val="81731590"/>
      </c:barChart>
      <c:catAx>
        <c:axId val="81731589"/>
        <c:scaling>
          <c:orientation val="minMax"/>
        </c:scaling>
        <c:delete val="0"/>
        <c:axPos val="b"/>
        <c:majorTickMark val="out"/>
        <c:minorTickMark val="none"/>
        <c:tickLblPos val="nextTo"/>
        <c:crossAx val="81731590"/>
        <c:crosses val="autoZero"/>
        <c:auto val="1"/>
        <c:lblAlgn val="ctr"/>
        <c:lblOffset val="100"/>
        <c:noMultiLvlLbl val="0"/>
      </c:catAx>
      <c:valAx>
        <c:axId val="81731590"/>
        <c:scaling>
          <c:orientation val="minMax"/>
        </c:scaling>
        <c:delete val="0"/>
        <c:axPos val="l"/>
        <c:majorGridlines>
          <c:spPr bwMode="auto"/>
        </c:majorGridlines>
        <c:numFmt formatCode="General" sourceLinked="1"/>
        <c:majorTickMark val="out"/>
        <c:minorTickMark val="none"/>
        <c:tickLblPos val="nextTo"/>
        <c:crossAx val="81731589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spPr bwMode="auto">
    <a:xfrm>
      <a:off x="0" y="0"/>
      <a:ext cx="0" cy="0"/>
    </a:xfrm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15"/>
    </mc:Choice>
    <mc:Fallback>
      <c:style val="15"/>
    </mc:Fallback>
  </mc:AlternateContent>
  <c:chart>
    <c:autoTitleDeleted val="1"/>
    <c:plotArea>
      <c:layout/>
      <c:pieChart>
        <c:varyColors val="1"/>
        <c:ser>
          <c:idx val="0"/>
          <c:order val="0"/>
          <c:dLbls>
            <c:dLbl>
              <c:idx val="0"/>
              <c:layout>
                <c:manualLayout>
                  <c:x val="0.367170"/>
                  <c:y val="0.725690"/>
                </c:manualLayout>
              </c:layout>
              <c:showBubbleSize val="0"/>
              <c:showCatName val="1"/>
              <c:showLegendKey val="0"/>
              <c:showPercent val="1"/>
              <c:showSerName val="0"/>
              <c:showVal val="0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ru-RU"/>
                      <a:t>Находится в работе</a:t>
                    </a:r>
                    <a:br>
                      <a:rPr lang="ru-RU"/>
                    </a:br>
                    <a:r>
                      <a:rPr lang="ru-RU"/>
                      <a:t>0%</a:t>
                    </a:r>
                    <a:endParaRPr/>
                  </a:p>
                </c:rich>
              </c:tx>
            </c:dLbl>
            <c:dLbl>
              <c:idx val="1"/>
              <c:layout>
                <c:manualLayout>
                  <c:x val="-0.011060"/>
                  <c:y val="-0.225280"/>
                </c:manualLayout>
              </c:layout>
              <c:showBubbleSize val="0"/>
              <c:showCatName val="1"/>
              <c:showLegendKey val="0"/>
              <c:showPercent val="1"/>
              <c:showSerName val="0"/>
              <c:showVal val="0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ru-RU"/>
                      <a:t>Решено положительно </a:t>
                    </a:r>
                    <a:br>
                      <a:rPr lang="ru-RU"/>
                    </a:br>
                    <a:r>
                      <a:rPr lang="ru-RU"/>
                      <a:t>21%</a:t>
                    </a:r>
                    <a:endParaRPr/>
                  </a:p>
                </c:rich>
              </c:tx>
            </c:dLbl>
            <c:dLbl>
              <c:idx val="2"/>
              <c:layout>
                <c:manualLayout>
                  <c:x val="-0.015350"/>
                  <c:y val="0.167960"/>
                </c:manualLayout>
              </c:layout>
              <c:showBubbleSize val="0"/>
              <c:showCatName val="1"/>
              <c:showLegendKey val="0"/>
              <c:showPercent val="1"/>
              <c:showSerName val="0"/>
              <c:showVal val="0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ru-RU"/>
                      <a:t>Дано разъяснение </a:t>
                    </a:r>
                    <a:br>
                      <a:rPr lang="ru-RU"/>
                    </a:br>
                    <a:r>
                      <a:rPr lang="ru-RU"/>
                      <a:t>79%</a:t>
                    </a:r>
                    <a:endParaRPr/>
                  </a:p>
                </c:rich>
              </c:tx>
            </c:dLbl>
            <c:dLbl>
              <c:idx val="3"/>
              <c:layout>
                <c:manualLayout>
                  <c:x val="-0.318040"/>
                  <c:y val="0.060170"/>
                </c:manualLayout>
              </c:layout>
              <c:showBubbleSize val="0"/>
              <c:showCatName val="1"/>
              <c:showLegendKey val="0"/>
              <c:showPercent val="1"/>
              <c:showSerName val="0"/>
              <c:showVal val="0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ru-RU"/>
                      <a:t>Отказано </a:t>
                    </a:r>
                    <a:br>
                      <a:rPr lang="ru-RU"/>
                    </a:br>
                    <a:r>
                      <a:rPr lang="ru-RU"/>
                      <a:t>0%</a:t>
                    </a:r>
                    <a:endParaRPr/>
                  </a:p>
                </c:rich>
              </c:tx>
            </c:dLbl>
            <c:showBubbleSize val="0"/>
            <c:showCatName val="1"/>
            <c:showLeaderLines val="1"/>
            <c:showLegendKey val="0"/>
            <c:showPercent val="1"/>
            <c:showSerName val="0"/>
            <c:showVal val="0"/>
          </c:dLbls>
          <c:cat>
            <c:strRef>
              <c:f>Лист1!$F$23:$F$26</c:f>
              <c:strCache>
                <c:ptCount val="4"/>
                <c:pt idx="0">
                  <c:v xml:space="preserve">Находится в работе</c:v>
                </c:pt>
                <c:pt idx="1">
                  <c:v xml:space="preserve">Решено положительно </c:v>
                </c:pt>
                <c:pt idx="2">
                  <c:v xml:space="preserve">Дано разъяснение </c:v>
                </c:pt>
                <c:pt idx="3">
                  <c:v xml:space="preserve">Отказано </c:v>
                </c:pt>
              </c:strCache>
            </c:strRef>
          </c:cat>
          <c:val>
            <c:numRef>
              <c:f>Лист1!$G$23:$G$26</c:f>
              <c:numCache>
                <c:formatCode>General</c:formatCode>
                <c:ptCount val="4"/>
                <c:pt idx="0">
                  <c:v>0</c:v>
                </c:pt>
                <c:pt idx="1">
                  <c:v>20</c:v>
                </c:pt>
                <c:pt idx="2">
                  <c:v>28</c:v>
                </c:pt>
                <c:pt idx="3">
                  <c:v>0</c:v>
                </c:pt>
              </c:numCache>
            </c:numRef>
          </c:val>
        </c:ser>
        <c:dLbls>
          <c:showBubbleSize val="0"/>
          <c:showCatName val="1"/>
          <c:showLeaderLines val="1"/>
          <c:showLegendKey val="0"/>
          <c:showPercent val="1"/>
          <c:showSerName val="0"/>
          <c:showVal val="0"/>
        </c:dLbls>
        <c:firstSliceAng val="0"/>
      </c:pieChart>
    </c:plotArea>
    <c:plotVisOnly val="1"/>
    <c:dispBlanksAs val="zero"/>
    <c:showDLblsOverMax val="0"/>
  </c:chart>
  <c:spPr bwMode="auto">
    <a:xfrm>
      <a:off x="0" y="0"/>
      <a:ext cx="0" cy="0"/>
    </a:xfrm>
  </c:spPr>
  <c:externalData r:id="rId1">
    <c:autoUpdate val="0"/>
  </c:externalData>
</c:chartSpac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2024-04-24T04:30:53Z</dcterms:modified>
</cp:coreProperties>
</file>